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E304A" w14:textId="77777777" w:rsidR="008C3647" w:rsidRDefault="008C3647" w:rsidP="009B5D19">
      <w:pPr>
        <w:jc w:val="center"/>
        <w:rPr>
          <w:b/>
          <w:szCs w:val="24"/>
        </w:rPr>
      </w:pPr>
    </w:p>
    <w:p w14:paraId="77171B97" w14:textId="77777777" w:rsidR="00856FF1" w:rsidRPr="009B5D19" w:rsidRDefault="00697CDB" w:rsidP="009B5D19">
      <w:pPr>
        <w:jc w:val="center"/>
        <w:rPr>
          <w:b/>
          <w:szCs w:val="24"/>
        </w:rPr>
      </w:pPr>
      <w:bookmarkStart w:id="0" w:name="_GoBack"/>
      <w:bookmarkEnd w:id="0"/>
      <w:r w:rsidRPr="009B5D19">
        <w:rPr>
          <w:b/>
          <w:szCs w:val="24"/>
        </w:rPr>
        <w:t xml:space="preserve">Обосновка за </w:t>
      </w:r>
      <w:r w:rsidR="00AC24FB">
        <w:rPr>
          <w:b/>
          <w:szCs w:val="24"/>
        </w:rPr>
        <w:t>удължаване</w:t>
      </w:r>
      <w:r w:rsidRPr="009B5D19">
        <w:rPr>
          <w:b/>
          <w:szCs w:val="24"/>
        </w:rPr>
        <w:t xml:space="preserve"> на първия срок за </w:t>
      </w:r>
      <w:r w:rsidRPr="009B5D19">
        <w:rPr>
          <w:b/>
          <w:bCs/>
          <w:szCs w:val="24"/>
          <w:lang w:eastAsia="fr-FR"/>
        </w:rPr>
        <w:t>изпълнение на проектите по процедура „</w:t>
      </w:r>
      <w:r w:rsidRPr="009B5D19">
        <w:rPr>
          <w:b/>
          <w:szCs w:val="24"/>
        </w:rPr>
        <w:t>Граждански контрол върху реформата в съдебната система“</w:t>
      </w:r>
    </w:p>
    <w:p w14:paraId="4C8A650B" w14:textId="77777777" w:rsidR="009B5D19" w:rsidRDefault="009B5D19" w:rsidP="009B5D19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szCs w:val="24"/>
        </w:rPr>
      </w:pPr>
    </w:p>
    <w:p w14:paraId="74533421" w14:textId="77777777" w:rsidR="00697CDB" w:rsidRPr="00AC24FB" w:rsidRDefault="00697CDB" w:rsidP="009B5D19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Cs/>
          <w:szCs w:val="24"/>
          <w:lang w:val="ru-RU"/>
        </w:rPr>
      </w:pPr>
      <w:r w:rsidRPr="00697CDB">
        <w:rPr>
          <w:rFonts w:cs="Times New Roman"/>
          <w:szCs w:val="24"/>
        </w:rPr>
        <w:t xml:space="preserve">Критериите за подбор на операциите по процедура </w:t>
      </w:r>
      <w:r w:rsidRPr="00697CDB">
        <w:rPr>
          <w:rFonts w:cs="Times New Roman"/>
          <w:bCs/>
          <w:szCs w:val="24"/>
          <w:lang w:eastAsia="fr-FR"/>
        </w:rPr>
        <w:t>„</w:t>
      </w:r>
      <w:r w:rsidRPr="00697CDB">
        <w:rPr>
          <w:rFonts w:cs="Times New Roman"/>
          <w:szCs w:val="24"/>
        </w:rPr>
        <w:t xml:space="preserve">Граждански контрол върху реформата в съдебната система“ бяха одобрени от КН на ОПДУ на негово </w:t>
      </w:r>
      <w:r w:rsidRPr="00697CDB">
        <w:rPr>
          <w:rFonts w:cs="Times New Roman"/>
          <w:bCs/>
          <w:szCs w:val="24"/>
          <w:lang w:val="en-US"/>
        </w:rPr>
        <w:t>IV</w:t>
      </w:r>
      <w:r w:rsidRPr="00AC24FB">
        <w:rPr>
          <w:rFonts w:cs="Times New Roman"/>
          <w:bCs/>
          <w:szCs w:val="24"/>
          <w:lang w:val="ru-RU"/>
        </w:rPr>
        <w:t xml:space="preserve"> </w:t>
      </w:r>
      <w:r w:rsidRPr="00697CDB">
        <w:rPr>
          <w:rFonts w:cs="Times New Roman"/>
          <w:bCs/>
          <w:szCs w:val="24"/>
        </w:rPr>
        <w:t>официално заседание</w:t>
      </w:r>
      <w:r w:rsidRPr="00697CDB">
        <w:rPr>
          <w:rFonts w:cs="Times New Roman"/>
          <w:szCs w:val="24"/>
        </w:rPr>
        <w:t xml:space="preserve">, проведено на </w:t>
      </w:r>
      <w:r w:rsidRPr="00AC24FB">
        <w:rPr>
          <w:rFonts w:cs="Times New Roman"/>
          <w:szCs w:val="24"/>
          <w:lang w:val="ru-RU"/>
        </w:rPr>
        <w:t xml:space="preserve">12 </w:t>
      </w:r>
      <w:r w:rsidRPr="00697CDB">
        <w:rPr>
          <w:rFonts w:cs="Times New Roman"/>
          <w:szCs w:val="24"/>
        </w:rPr>
        <w:t xml:space="preserve">септември 2016 г. </w:t>
      </w:r>
    </w:p>
    <w:p w14:paraId="3703CDB9" w14:textId="77777777" w:rsidR="00AC24FB" w:rsidRDefault="00AC24FB" w:rsidP="00AC24FB">
      <w:pPr>
        <w:spacing w:after="120" w:line="240" w:lineRule="auto"/>
        <w:jc w:val="both"/>
      </w:pPr>
      <w:r>
        <w:t xml:space="preserve">Предвид факта, че по процедурата се предвижда </w:t>
      </w:r>
      <w:r w:rsidRPr="00697CDB">
        <w:rPr>
          <w:rFonts w:eastAsia="Times New Roman" w:cs="Times New Roman"/>
          <w:bCs/>
          <w:szCs w:val="24"/>
          <w:lang w:eastAsia="en-GB"/>
        </w:rPr>
        <w:t>прил</w:t>
      </w:r>
      <w:r>
        <w:rPr>
          <w:rFonts w:eastAsia="Times New Roman" w:cs="Times New Roman"/>
          <w:bCs/>
          <w:szCs w:val="24"/>
          <w:lang w:eastAsia="en-GB"/>
        </w:rPr>
        <w:t xml:space="preserve">агане на </w:t>
      </w:r>
      <w:r w:rsidRPr="00697CDB">
        <w:rPr>
          <w:rFonts w:eastAsia="Times New Roman" w:cs="Times New Roman"/>
          <w:bCs/>
          <w:szCs w:val="24"/>
          <w:lang w:eastAsia="en-GB"/>
        </w:rPr>
        <w:t>схема за финансиране с единна ставка в съответствие с член 14, параграф 2 от Регламент (ЕС) № 1304/2013</w:t>
      </w:r>
      <w:r>
        <w:t xml:space="preserve">, в процеса на разработване на Насоките възникнаха казуси и въпроси, които следваше да се решат и обсъдят, вкл. и с ЦКЗ, останалите колеги от УО на ОПРЧР и ОНОИР, и ОСЕС. </w:t>
      </w:r>
    </w:p>
    <w:p w14:paraId="27F8163D" w14:textId="04B2B0D9" w:rsidR="009B5D19" w:rsidRDefault="006571C9" w:rsidP="009B5D19">
      <w:pPr>
        <w:spacing w:after="120" w:line="240" w:lineRule="auto"/>
        <w:jc w:val="both"/>
      </w:pPr>
      <w:r>
        <w:t xml:space="preserve">Разработен </w:t>
      </w:r>
      <w:r w:rsidR="00AC24FB">
        <w:t>б</w:t>
      </w:r>
      <w:r>
        <w:t>е проект на Насоки, който е публикуван за обществено обсъж</w:t>
      </w:r>
      <w:r w:rsidR="007C77C0">
        <w:t>дане със срок до 31.01.2017 г.</w:t>
      </w:r>
    </w:p>
    <w:p w14:paraId="0EBCDCCF" w14:textId="56373771" w:rsidR="00AB56DC" w:rsidRPr="007C77C0" w:rsidRDefault="006571C9" w:rsidP="007C77C0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szCs w:val="24"/>
        </w:rPr>
      </w:pPr>
      <w:r w:rsidRPr="007C77C0">
        <w:rPr>
          <w:rFonts w:cs="Times New Roman"/>
          <w:szCs w:val="24"/>
        </w:rPr>
        <w:t>Проектът на Насоки бе изпратен за съгласуване и на Министерство на финансите, дирекция ДПРС</w:t>
      </w:r>
      <w:r w:rsidR="006A0D22" w:rsidRPr="007C77C0">
        <w:rPr>
          <w:rFonts w:cs="Times New Roman"/>
          <w:szCs w:val="24"/>
        </w:rPr>
        <w:t xml:space="preserve"> в съответствие с т. 4 от ДНФ № 1/01.07.2014 г. </w:t>
      </w:r>
    </w:p>
    <w:p w14:paraId="282440C9" w14:textId="78932446" w:rsidR="0070496C" w:rsidRPr="007C77C0" w:rsidRDefault="006571C9" w:rsidP="007C77C0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szCs w:val="24"/>
        </w:rPr>
      </w:pPr>
      <w:r w:rsidRPr="007C77C0">
        <w:rPr>
          <w:rFonts w:cs="Times New Roman"/>
          <w:szCs w:val="24"/>
        </w:rPr>
        <w:t xml:space="preserve">На 20.01.2017 г. бе получено писмо с изх. № 03-00-67 от Министерство на финансите, в което се посочва, че </w:t>
      </w:r>
      <w:r w:rsidR="006A0D22" w:rsidRPr="007C77C0">
        <w:rPr>
          <w:rFonts w:cs="Times New Roman"/>
          <w:szCs w:val="24"/>
        </w:rPr>
        <w:t>основните изисквания на Регламент (ЕО) 1407/2013 на Комисията от 18 декември 2013 г.</w:t>
      </w:r>
      <w:r w:rsidR="00DD2C6A" w:rsidRPr="007C77C0">
        <w:rPr>
          <w:rFonts w:cs="Times New Roman"/>
          <w:szCs w:val="24"/>
        </w:rPr>
        <w:t xml:space="preserve"> са</w:t>
      </w:r>
      <w:r w:rsidR="006A0D22" w:rsidRPr="007C77C0">
        <w:rPr>
          <w:rFonts w:cs="Times New Roman"/>
          <w:szCs w:val="24"/>
        </w:rPr>
        <w:t xml:space="preserve"> включени в текста на Насоките за кандидатстване, но </w:t>
      </w:r>
      <w:r w:rsidR="00AB56DC" w:rsidRPr="007C77C0">
        <w:rPr>
          <w:rFonts w:cs="Times New Roman"/>
          <w:szCs w:val="24"/>
        </w:rPr>
        <w:t xml:space="preserve">последните </w:t>
      </w:r>
      <w:r w:rsidR="006A0D22" w:rsidRPr="007C77C0">
        <w:rPr>
          <w:rFonts w:cs="Times New Roman"/>
          <w:szCs w:val="24"/>
        </w:rPr>
        <w:t>следва да се</w:t>
      </w:r>
      <w:r w:rsidR="00AB56DC" w:rsidRPr="007C77C0">
        <w:rPr>
          <w:rFonts w:cs="Times New Roman"/>
          <w:szCs w:val="24"/>
        </w:rPr>
        <w:t xml:space="preserve"> допълнят като се </w:t>
      </w:r>
      <w:r w:rsidR="006A0D22" w:rsidRPr="007C77C0">
        <w:rPr>
          <w:rFonts w:cs="Times New Roman"/>
          <w:szCs w:val="24"/>
        </w:rPr>
        <w:t>нанесат корекции и допълнения</w:t>
      </w:r>
      <w:r w:rsidR="0070496C" w:rsidRPr="007C77C0">
        <w:rPr>
          <w:rFonts w:cs="Times New Roman"/>
          <w:szCs w:val="24"/>
        </w:rPr>
        <w:t>, както следва</w:t>
      </w:r>
      <w:r w:rsidR="00AB56DC" w:rsidRPr="007C77C0">
        <w:rPr>
          <w:rFonts w:cs="Times New Roman"/>
          <w:szCs w:val="24"/>
        </w:rPr>
        <w:t>:</w:t>
      </w:r>
    </w:p>
    <w:p w14:paraId="51CF45AA" w14:textId="0952D0F6" w:rsidR="0070496C" w:rsidRPr="00AB56DC" w:rsidRDefault="0070496C" w:rsidP="00AB56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AB56D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Да се включат разпоредбите на чл. 1 от Регламента, от които да става ясно, че мярката е насочена към сектор не попадащ в изключените от обхвата на регламента;</w:t>
      </w:r>
    </w:p>
    <w:p w14:paraId="4276F4A1" w14:textId="576EC240" w:rsidR="0070496C" w:rsidRPr="00AB56DC" w:rsidRDefault="0070496C" w:rsidP="00AB56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AB56D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Да се прецизира текстът в т. 17.1.4 „Условия за прилагането на минималната държавна помощ“, така че да става ясно, че както кандидатите, така и партньорите ще бъдат проверявани за наличие на обстоятелства по чл. 2, </w:t>
      </w:r>
      <w:proofErr w:type="spellStart"/>
      <w:r w:rsidRPr="00AB56D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пар</w:t>
      </w:r>
      <w:proofErr w:type="spellEnd"/>
      <w:r w:rsidRPr="00AB56D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 2 на Регламента.</w:t>
      </w:r>
    </w:p>
    <w:p w14:paraId="43171CF2" w14:textId="4F1EE70B" w:rsidR="006A0D22" w:rsidRPr="00AB56DC" w:rsidRDefault="0070496C" w:rsidP="00AB56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AB56D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Да се прецизира текстът в т. т. 17.1.2 „Условия за прилагането на минималната държавна помощ“,</w:t>
      </w:r>
      <w:r w:rsidR="006A0D22" w:rsidRPr="00AB56D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по отношение на третирането на органите на съдебната </w:t>
      </w:r>
      <w:r w:rsidRPr="00AB56D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власт или други държавни органи, като се включи обосновка за (не)приложимостта на правилата по държавни помощи по отношение на тези органи.</w:t>
      </w:r>
    </w:p>
    <w:p w14:paraId="6A8A98FA" w14:textId="1287820D" w:rsidR="0070496C" w:rsidRPr="00AB56DC" w:rsidRDefault="0070496C" w:rsidP="00AB56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AB56D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Да се включат разпоредбите на чл. 5 от Регламента относно правилата за </w:t>
      </w:r>
      <w:proofErr w:type="spellStart"/>
      <w:r w:rsidRPr="00AB56D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кумулиране</w:t>
      </w:r>
      <w:proofErr w:type="spellEnd"/>
      <w:r w:rsidRPr="00AB56D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на </w:t>
      </w:r>
      <w:r w:rsidR="00AB56DC" w:rsidRPr="00AB56D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минималните помощи.</w:t>
      </w:r>
    </w:p>
    <w:p w14:paraId="7394E8E3" w14:textId="42156582" w:rsidR="00AB56DC" w:rsidRPr="00AB56DC" w:rsidRDefault="00AB56DC" w:rsidP="00AB56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AB56D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Да се разпише механизъм за възстановяване на неправомерно предоставена минимална помощ</w:t>
      </w:r>
    </w:p>
    <w:p w14:paraId="4C6D647A" w14:textId="2E2036E1" w:rsidR="00AB56DC" w:rsidRPr="00AB56DC" w:rsidRDefault="00AB56DC" w:rsidP="00AB56DC">
      <w:pPr>
        <w:pStyle w:val="ListParagraph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6DC">
        <w:rPr>
          <w:rFonts w:ascii="Times New Roman" w:hAnsi="Times New Roman" w:cs="Times New Roman"/>
          <w:sz w:val="24"/>
          <w:szCs w:val="24"/>
        </w:rPr>
        <w:t xml:space="preserve">Да се предвидят критерии, въз основа на които ще се извършва  проверка и ще се удостовери спазването на Регламента, като същите се отразят и в Методиката за оценка на проектни предложения (Приложение 10). </w:t>
      </w:r>
    </w:p>
    <w:p w14:paraId="24E625B0" w14:textId="7E6FAD97" w:rsidR="00AB56DC" w:rsidRDefault="00AB56DC" w:rsidP="00AB56DC">
      <w:pPr>
        <w:pStyle w:val="ListParagraph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6DC">
        <w:rPr>
          <w:rFonts w:ascii="Times New Roman" w:hAnsi="Times New Roman" w:cs="Times New Roman"/>
          <w:sz w:val="24"/>
          <w:szCs w:val="24"/>
        </w:rPr>
        <w:t xml:space="preserve">В проекта на административния договор да се разпишат всички задължения и отговорности за отделните страни, произтичащи от правилата за минималните помощи. </w:t>
      </w:r>
    </w:p>
    <w:p w14:paraId="651F772B" w14:textId="01162FDA" w:rsidR="00AB56DC" w:rsidRPr="00AB56DC" w:rsidRDefault="00AB56DC" w:rsidP="00AB56DC">
      <w:pPr>
        <w:spacing w:after="120" w:line="240" w:lineRule="auto"/>
        <w:jc w:val="both"/>
        <w:rPr>
          <w:rFonts w:cs="Times New Roman"/>
          <w:szCs w:val="24"/>
        </w:rPr>
      </w:pPr>
      <w:r w:rsidRPr="00AB56DC">
        <w:rPr>
          <w:rFonts w:cs="Times New Roman"/>
          <w:szCs w:val="24"/>
        </w:rPr>
        <w:lastRenderedPageBreak/>
        <w:t>В тази връзка, УО на ОПДУ предвижда процедурата да бъде обявена след извършване на необходимите корекции и допълнения в Насоките за кандидатстване в съответствие със становището на Министерство на финансите по отношение на правила</w:t>
      </w:r>
      <w:r w:rsidR="007C77C0">
        <w:rPr>
          <w:rFonts w:cs="Times New Roman"/>
          <w:szCs w:val="24"/>
        </w:rPr>
        <w:t>та за минимални държавни помощи, които се подготвят в момента.</w:t>
      </w:r>
      <w:r w:rsidRPr="00AB56DC">
        <w:rPr>
          <w:rFonts w:cs="Times New Roman"/>
          <w:szCs w:val="24"/>
        </w:rPr>
        <w:t xml:space="preserve"> </w:t>
      </w:r>
    </w:p>
    <w:p w14:paraId="26D71F6E" w14:textId="223879AB" w:rsidR="006571C9" w:rsidRDefault="00AC24FB" w:rsidP="009B5D19">
      <w:pPr>
        <w:spacing w:after="120" w:line="240" w:lineRule="auto"/>
        <w:jc w:val="both"/>
      </w:pPr>
      <w:r>
        <w:t xml:space="preserve">Посочените по-горе факти, доведоха до забавяне в обявяването на процедурата, която бе предвидена за 2016 г. УО на ОПДУ предвижда да я обяви най-късно до края на месец февруари 2017 г. с краен срок за кандидатстване до </w:t>
      </w:r>
      <w:r w:rsidR="007C77C0">
        <w:t>28.04.2017 г.</w:t>
      </w:r>
      <w:r>
        <w:t xml:space="preserve"> Като се вземе предвид необходимия срок за оценка на постъпилите проектни предложения и сключването на договори за БФП, което реалистично ще се случи до края на м. септември 2017 г., както и предвиденият </w:t>
      </w:r>
      <w:r w:rsidR="009B5D19" w:rsidRPr="009B5D19">
        <w:t>м</w:t>
      </w:r>
      <w:r w:rsidR="009B5D19" w:rsidRPr="009B5D19">
        <w:rPr>
          <w:rFonts w:cs="Times New Roman"/>
          <w:szCs w:val="24"/>
        </w:rPr>
        <w:t xml:space="preserve">аксимален срок за изпълнение на проектите </w:t>
      </w:r>
      <w:r w:rsidR="009B5D19">
        <w:rPr>
          <w:rFonts w:cs="Times New Roman"/>
          <w:szCs w:val="24"/>
        </w:rPr>
        <w:t>(</w:t>
      </w:r>
      <w:r w:rsidR="009B5D19" w:rsidRPr="009B5D19">
        <w:rPr>
          <w:rFonts w:cs="Times New Roman"/>
          <w:szCs w:val="24"/>
        </w:rPr>
        <w:t>д</w:t>
      </w:r>
      <w:r w:rsidR="009B5D19" w:rsidRPr="009B5D19">
        <w:rPr>
          <w:rFonts w:cs="Times New Roman"/>
          <w:bCs/>
          <w:szCs w:val="24"/>
        </w:rPr>
        <w:t>о 18 месеца</w:t>
      </w:r>
      <w:r w:rsidR="009B5D19">
        <w:rPr>
          <w:rFonts w:cs="Times New Roman"/>
          <w:bCs/>
          <w:szCs w:val="24"/>
        </w:rPr>
        <w:t>)</w:t>
      </w:r>
      <w:r w:rsidR="009B5D19" w:rsidRPr="009B5D19">
        <w:rPr>
          <w:rFonts w:cs="Times New Roman"/>
          <w:bCs/>
          <w:szCs w:val="24"/>
        </w:rPr>
        <w:t>,</w:t>
      </w:r>
      <w:r w:rsidR="009B5D19">
        <w:rPr>
          <w:rFonts w:cs="Times New Roman"/>
          <w:b/>
          <w:bCs/>
          <w:szCs w:val="24"/>
        </w:rPr>
        <w:t xml:space="preserve"> </w:t>
      </w:r>
      <w:r w:rsidR="006571C9" w:rsidRPr="0054203F">
        <w:rPr>
          <w:bCs/>
        </w:rPr>
        <w:t xml:space="preserve">за </w:t>
      </w:r>
      <w:r>
        <w:rPr>
          <w:bCs/>
        </w:rPr>
        <w:t xml:space="preserve">да се гарантира </w:t>
      </w:r>
      <w:r w:rsidR="00D215FB">
        <w:rPr>
          <w:bCs/>
        </w:rPr>
        <w:t xml:space="preserve">възможността за прилагане на </w:t>
      </w:r>
      <w:r>
        <w:rPr>
          <w:bCs/>
        </w:rPr>
        <w:t xml:space="preserve">срок </w:t>
      </w:r>
      <w:r w:rsidR="00D215FB">
        <w:rPr>
          <w:bCs/>
        </w:rPr>
        <w:t>з</w:t>
      </w:r>
      <w:r>
        <w:rPr>
          <w:bCs/>
        </w:rPr>
        <w:t xml:space="preserve">а изпълнение </w:t>
      </w:r>
      <w:r w:rsidR="00D215FB">
        <w:rPr>
          <w:bCs/>
        </w:rPr>
        <w:t xml:space="preserve"> от </w:t>
      </w:r>
      <w:r>
        <w:rPr>
          <w:bCs/>
        </w:rPr>
        <w:t>18 м. за проектите по</w:t>
      </w:r>
      <w:r w:rsidR="006571C9">
        <w:rPr>
          <w:bCs/>
        </w:rPr>
        <w:t xml:space="preserve"> </w:t>
      </w:r>
      <w:r w:rsidR="006571C9" w:rsidRPr="0054203F">
        <w:rPr>
          <w:bCs/>
        </w:rPr>
        <w:t>първи</w:t>
      </w:r>
      <w:r w:rsidR="006571C9">
        <w:rPr>
          <w:bCs/>
        </w:rPr>
        <w:t>я</w:t>
      </w:r>
      <w:r w:rsidR="006571C9" w:rsidRPr="0054203F">
        <w:rPr>
          <w:bCs/>
        </w:rPr>
        <w:t xml:space="preserve"> срок за кандидатстване</w:t>
      </w:r>
      <w:r w:rsidR="006571C9">
        <w:rPr>
          <w:bCs/>
        </w:rPr>
        <w:t xml:space="preserve">, срокът </w:t>
      </w:r>
      <w:r>
        <w:rPr>
          <w:bCs/>
        </w:rPr>
        <w:t xml:space="preserve">за </w:t>
      </w:r>
      <w:r w:rsidR="006571C9">
        <w:rPr>
          <w:bCs/>
        </w:rPr>
        <w:t xml:space="preserve">изпълнение </w:t>
      </w:r>
      <w:r>
        <w:rPr>
          <w:bCs/>
        </w:rPr>
        <w:t xml:space="preserve">следва да се </w:t>
      </w:r>
      <w:r w:rsidR="00D215FB">
        <w:rPr>
          <w:bCs/>
        </w:rPr>
        <w:t xml:space="preserve">промени </w:t>
      </w:r>
      <w:r w:rsidR="006571C9">
        <w:rPr>
          <w:bCs/>
        </w:rPr>
        <w:t xml:space="preserve">от 2017-2018 г. на 2017-2019 г. </w:t>
      </w:r>
    </w:p>
    <w:p w14:paraId="25DD737D" w14:textId="77777777" w:rsidR="006571C9" w:rsidRPr="00AC24FB" w:rsidRDefault="006571C9" w:rsidP="009B5D19">
      <w:pPr>
        <w:autoSpaceDE w:val="0"/>
        <w:autoSpaceDN w:val="0"/>
        <w:adjustRightInd w:val="0"/>
        <w:spacing w:after="120" w:line="240" w:lineRule="auto"/>
        <w:ind w:left="284" w:firstLine="284"/>
        <w:jc w:val="both"/>
        <w:rPr>
          <w:rFonts w:eastAsia="Times New Roman" w:cs="Times New Roman"/>
          <w:bCs/>
          <w:szCs w:val="24"/>
          <w:lang w:eastAsia="en-GB"/>
        </w:rPr>
      </w:pPr>
    </w:p>
    <w:p w14:paraId="3BA4428D" w14:textId="77777777" w:rsidR="006571C9" w:rsidRPr="00AC24FB" w:rsidRDefault="006571C9" w:rsidP="009B5D19">
      <w:pPr>
        <w:autoSpaceDE w:val="0"/>
        <w:autoSpaceDN w:val="0"/>
        <w:adjustRightInd w:val="0"/>
        <w:spacing w:after="120" w:line="240" w:lineRule="auto"/>
        <w:ind w:left="284" w:firstLine="284"/>
        <w:jc w:val="both"/>
        <w:rPr>
          <w:rFonts w:eastAsia="Times New Roman" w:cs="Times New Roman"/>
          <w:bCs/>
          <w:szCs w:val="24"/>
          <w:lang w:val="ru-RU" w:eastAsia="en-GB"/>
        </w:rPr>
      </w:pPr>
    </w:p>
    <w:sectPr w:rsidR="006571C9" w:rsidRPr="00AC24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C92E8" w14:textId="77777777" w:rsidR="00697CDB" w:rsidRDefault="00697CDB" w:rsidP="00697CDB">
      <w:pPr>
        <w:spacing w:after="0" w:line="240" w:lineRule="auto"/>
      </w:pPr>
      <w:r>
        <w:separator/>
      </w:r>
    </w:p>
  </w:endnote>
  <w:endnote w:type="continuationSeparator" w:id="0">
    <w:p w14:paraId="5E561F86" w14:textId="77777777" w:rsidR="00697CDB" w:rsidRDefault="00697CDB" w:rsidP="00697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0BECE" w14:textId="77777777" w:rsidR="008C3647" w:rsidRDefault="008C3647" w:rsidP="008C3647">
    <w:pPr>
      <w:pStyle w:val="Footer"/>
      <w:jc w:val="center"/>
      <w:rPr>
        <w:i/>
        <w:lang w:val="en-US"/>
      </w:rPr>
    </w:pPr>
    <w:r>
      <w:rPr>
        <w:i/>
        <w:lang w:val="en-US"/>
      </w:rPr>
      <w:pict w14:anchorId="0A0D4C32">
        <v:rect id="_x0000_i1027" style="width:0;height:1.5pt" o:hralign="center" o:hrstd="t" o:hr="t" fillcolor="#a0a0a0" stroked="f"/>
      </w:pict>
    </w:r>
  </w:p>
  <w:p w14:paraId="5814B7DB" w14:textId="77777777" w:rsidR="008C3647" w:rsidRPr="005A60E2" w:rsidRDefault="008C3647" w:rsidP="008C3647">
    <w:pPr>
      <w:pStyle w:val="Footer"/>
      <w:jc w:val="center"/>
      <w:rPr>
        <w:i/>
        <w:color w:val="7F7F7F" w:themeColor="text1" w:themeTint="80"/>
        <w:lang w:val="en-US"/>
      </w:rPr>
    </w:pPr>
    <w:r w:rsidRPr="005A60E2">
      <w:rPr>
        <w:i/>
        <w:color w:val="7F7F7F" w:themeColor="text1" w:themeTint="80"/>
        <w:lang w:val="en-US"/>
      </w:rPr>
      <w:t>www.eufunds.bg</w:t>
    </w:r>
  </w:p>
  <w:p w14:paraId="7EEB9209" w14:textId="77777777" w:rsidR="008C3647" w:rsidRDefault="008C36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6E405" w14:textId="77777777" w:rsidR="00697CDB" w:rsidRDefault="00697CDB" w:rsidP="00697CDB">
      <w:pPr>
        <w:spacing w:after="0" w:line="240" w:lineRule="auto"/>
      </w:pPr>
      <w:r>
        <w:separator/>
      </w:r>
    </w:p>
  </w:footnote>
  <w:footnote w:type="continuationSeparator" w:id="0">
    <w:p w14:paraId="56D19FFB" w14:textId="77777777" w:rsidR="00697CDB" w:rsidRDefault="00697CDB" w:rsidP="00697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2EB7E" w14:textId="3890CD8E" w:rsidR="008C3647" w:rsidRDefault="008C3647" w:rsidP="008C3647">
    <w:pPr>
      <w:pStyle w:val="Header"/>
      <w:pBdr>
        <w:bottom w:val="single" w:sz="6" w:space="1" w:color="auto"/>
      </w:pBdr>
      <w:tabs>
        <w:tab w:val="clear" w:pos="4536"/>
        <w:tab w:val="clear" w:pos="9072"/>
        <w:tab w:val="center" w:pos="4961"/>
        <w:tab w:val="right" w:pos="9922"/>
      </w:tabs>
      <w:rPr>
        <w:lang w:val="en-US"/>
      </w:rPr>
    </w:pPr>
    <w:r>
      <w:rPr>
        <w:noProof/>
        <w:lang w:val="en-US"/>
      </w:rPr>
      <w:t xml:space="preserve">  </w:t>
    </w:r>
    <w:r>
      <w:rPr>
        <w:noProof/>
        <w:lang w:eastAsia="bg-BG"/>
      </w:rPr>
      <w:drawing>
        <wp:inline distT="0" distB="0" distL="0" distR="0" wp14:anchorId="4697E4D7" wp14:editId="59C97430">
          <wp:extent cx="1638935" cy="466090"/>
          <wp:effectExtent l="0" t="0" r="0" b="0"/>
          <wp:docPr id="2" name="Picture 2" descr="EU_SEFr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SEFrigh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                                   </w:t>
    </w:r>
    <w:r>
      <w:rPr>
        <w:noProof/>
      </w:rPr>
      <w:drawing>
        <wp:inline distT="0" distB="0" distL="0" distR="0" wp14:anchorId="6AE9D616" wp14:editId="27C6F4C4">
          <wp:extent cx="1818859" cy="638628"/>
          <wp:effectExtent l="0" t="0" r="0" b="9525"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7172" b="13502"/>
                  <a:stretch/>
                </pic:blipFill>
                <pic:spPr bwMode="auto">
                  <a:xfrm>
                    <a:off x="0" y="0"/>
                    <a:ext cx="1828991" cy="64218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8811405" w14:textId="77777777" w:rsidR="008C3647" w:rsidRDefault="008C3647" w:rsidP="008C3647">
    <w:pPr>
      <w:pStyle w:val="Header"/>
      <w:pBdr>
        <w:bottom w:val="single" w:sz="6" w:space="1" w:color="auto"/>
      </w:pBdr>
      <w:tabs>
        <w:tab w:val="clear" w:pos="4536"/>
        <w:tab w:val="clear" w:pos="9072"/>
        <w:tab w:val="center" w:pos="4961"/>
        <w:tab w:val="right" w:pos="9922"/>
      </w:tabs>
      <w:rPr>
        <w:lang w:val="en-US"/>
      </w:rPr>
    </w:pPr>
    <w:r>
      <w:rPr>
        <w:lang w:val="en-US"/>
      </w:rPr>
      <w:t xml:space="preserve">                                     </w:t>
    </w:r>
    <w:r>
      <w:rPr>
        <w:noProof/>
        <w:lang w:val="en-US"/>
      </w:rPr>
      <w:t xml:space="preserve">  </w:t>
    </w:r>
    <w:r>
      <w:rPr>
        <w:noProof/>
        <w:lang w:val="en-US"/>
      </w:rPr>
      <w:tab/>
    </w:r>
  </w:p>
  <w:p w14:paraId="7D98A57A" w14:textId="77777777" w:rsidR="008C3647" w:rsidRDefault="008C36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B47E6C"/>
    <w:multiLevelType w:val="hybridMultilevel"/>
    <w:tmpl w:val="80EEA14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CDB"/>
    <w:rsid w:val="005A1225"/>
    <w:rsid w:val="006571C9"/>
    <w:rsid w:val="00697CDB"/>
    <w:rsid w:val="006A0D22"/>
    <w:rsid w:val="0070496C"/>
    <w:rsid w:val="007C77C0"/>
    <w:rsid w:val="00856FF1"/>
    <w:rsid w:val="008C3647"/>
    <w:rsid w:val="009B5D19"/>
    <w:rsid w:val="00A114C4"/>
    <w:rsid w:val="00AB56DC"/>
    <w:rsid w:val="00AC24FB"/>
    <w:rsid w:val="00D215FB"/>
    <w:rsid w:val="00DD2C6A"/>
    <w:rsid w:val="00EA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28148"/>
  <w15:chartTrackingRefBased/>
  <w15:docId w15:val="{8D23E789-2B76-48E5-972D-59CDFA1BB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7CDB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styleId="FootnoteReference">
    <w:name w:val="footnote reference"/>
    <w:rsid w:val="00697CDB"/>
    <w:rPr>
      <w:vertAlign w:val="superscript"/>
    </w:rPr>
  </w:style>
  <w:style w:type="paragraph" w:customStyle="1" w:styleId="Default">
    <w:name w:val="Default"/>
    <w:rsid w:val="00697CDB"/>
    <w:pPr>
      <w:autoSpaceDE w:val="0"/>
      <w:autoSpaceDN w:val="0"/>
      <w:adjustRightInd w:val="0"/>
      <w:spacing w:after="0" w:line="240" w:lineRule="auto"/>
    </w:pPr>
    <w:rPr>
      <w:rFonts w:eastAsia="Calibri" w:cs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C24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24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24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24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24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4F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8C3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47"/>
  </w:style>
  <w:style w:type="paragraph" w:styleId="Footer">
    <w:name w:val="footer"/>
    <w:basedOn w:val="Normal"/>
    <w:link w:val="FooterChar"/>
    <w:uiPriority w:val="99"/>
    <w:unhideWhenUsed/>
    <w:rsid w:val="008C3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Ангелова</dc:creator>
  <cp:keywords/>
  <dc:description/>
  <cp:lastModifiedBy>Емилия Герджикова</cp:lastModifiedBy>
  <cp:revision>23</cp:revision>
  <dcterms:created xsi:type="dcterms:W3CDTF">2017-01-30T11:14:00Z</dcterms:created>
  <dcterms:modified xsi:type="dcterms:W3CDTF">2017-01-31T14:15:00Z</dcterms:modified>
</cp:coreProperties>
</file>